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 w:eastAsia="zh-CN" w:bidi="ar-SA"/>
        </w:rPr>
        <w:t>附件</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 w:eastAsia="仿宋_GB2312"/>
          <w:spacing w:val="-4"/>
          <w:sz w:val="32"/>
          <w:szCs w:val="32"/>
          <w:lang w:val="en-US" w:eastAsia="zh-CN"/>
        </w:rPr>
      </w:pPr>
      <w:bookmarkStart w:id="0" w:name="_GoBack"/>
      <w:r>
        <w:rPr>
          <w:rFonts w:hint="eastAsia" w:ascii="方正小标宋简体" w:hAnsi="方正小标宋简体" w:eastAsia="方正小标宋简体" w:cs="方正小标宋简体"/>
          <w:color w:val="auto"/>
          <w:kern w:val="2"/>
          <w:sz w:val="36"/>
          <w:szCs w:val="36"/>
          <w:lang w:val="en-US" w:eastAsia="zh-CN" w:bidi="ar-SA"/>
        </w:rPr>
        <w:t>决定废止的规范性文件和一般政策性文件目录（5件）</w:t>
      </w:r>
    </w:p>
    <w:bookmarkEnd w:id="0"/>
    <w:tbl>
      <w:tblPr>
        <w:tblStyle w:val="6"/>
        <w:tblpPr w:leftFromText="180" w:rightFromText="180" w:vertAnchor="text" w:horzAnchor="page" w:tblpX="1590" w:tblpY="592"/>
        <w:tblOverlap w:val="never"/>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4043"/>
        <w:gridCol w:w="238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8"/>
              <w:jc w:val="center"/>
              <w:rPr>
                <w:rFonts w:hint="eastAsia" w:ascii="方正黑体_GBK" w:hAnsi="方正黑体_GBK" w:eastAsia="方正黑体_GBK" w:cs="方正黑体_GBK"/>
                <w:color w:val="000000"/>
                <w:spacing w:val="0"/>
                <w:kern w:val="2"/>
                <w:sz w:val="28"/>
                <w:szCs w:val="28"/>
                <w:vertAlign w:val="baseline"/>
                <w:lang w:val="en-US" w:eastAsia="zh-CN" w:bidi="ar-SA"/>
              </w:rPr>
            </w:pPr>
            <w:r>
              <w:rPr>
                <w:rFonts w:hint="eastAsia" w:ascii="方正黑体_GBK" w:hAnsi="方正黑体_GBK" w:eastAsia="方正黑体_GBK" w:cs="方正黑体_GBK"/>
                <w:color w:val="000000"/>
                <w:spacing w:val="0"/>
                <w:kern w:val="2"/>
                <w:sz w:val="28"/>
                <w:szCs w:val="28"/>
                <w:vertAlign w:val="baseline"/>
                <w:lang w:val="en-US" w:eastAsia="zh-CN" w:bidi="ar-SA"/>
              </w:rPr>
              <w:t>序号</w:t>
            </w:r>
          </w:p>
        </w:tc>
        <w:tc>
          <w:tcPr>
            <w:tcW w:w="2331" w:type="pct"/>
            <w:noWrap w:val="0"/>
            <w:vAlign w:val="center"/>
          </w:tcPr>
          <w:p>
            <w:pPr>
              <w:pStyle w:val="8"/>
              <w:jc w:val="center"/>
              <w:rPr>
                <w:rFonts w:hint="eastAsia" w:ascii="方正黑体_GBK" w:hAnsi="方正黑体_GBK" w:eastAsia="方正黑体_GBK" w:cs="方正黑体_GBK"/>
                <w:color w:val="000000"/>
                <w:spacing w:val="0"/>
                <w:kern w:val="2"/>
                <w:sz w:val="28"/>
                <w:szCs w:val="28"/>
                <w:vertAlign w:val="baseline"/>
                <w:lang w:val="en-US" w:eastAsia="zh-CN" w:bidi="ar-SA"/>
              </w:rPr>
            </w:pPr>
            <w:r>
              <w:rPr>
                <w:rFonts w:hint="eastAsia" w:ascii="方正黑体_GBK" w:hAnsi="方正黑体_GBK" w:eastAsia="方正黑体_GBK" w:cs="方正黑体_GBK"/>
                <w:color w:val="000000"/>
                <w:spacing w:val="0"/>
                <w:kern w:val="2"/>
                <w:sz w:val="28"/>
                <w:szCs w:val="28"/>
                <w:vertAlign w:val="baseline"/>
                <w:lang w:val="en-US" w:eastAsia="zh-CN" w:bidi="ar-SA"/>
              </w:rPr>
              <w:t>文件名称</w:t>
            </w:r>
          </w:p>
        </w:tc>
        <w:tc>
          <w:tcPr>
            <w:tcW w:w="1377" w:type="pct"/>
            <w:noWrap w:val="0"/>
            <w:vAlign w:val="center"/>
          </w:tcPr>
          <w:p>
            <w:pPr>
              <w:pStyle w:val="8"/>
              <w:jc w:val="center"/>
              <w:rPr>
                <w:rFonts w:hint="eastAsia" w:ascii="方正黑体_GBK" w:hAnsi="方正黑体_GBK" w:eastAsia="方正黑体_GBK" w:cs="方正黑体_GBK"/>
                <w:color w:val="000000"/>
                <w:spacing w:val="0"/>
                <w:kern w:val="2"/>
                <w:sz w:val="28"/>
                <w:szCs w:val="28"/>
                <w:vertAlign w:val="baseline"/>
                <w:lang w:val="en-US" w:eastAsia="zh-CN" w:bidi="ar-SA"/>
              </w:rPr>
            </w:pPr>
            <w:r>
              <w:rPr>
                <w:rFonts w:hint="eastAsia" w:ascii="方正黑体_GBK" w:hAnsi="方正黑体_GBK" w:eastAsia="方正黑体_GBK" w:cs="方正黑体_GBK"/>
                <w:color w:val="000000"/>
                <w:spacing w:val="0"/>
                <w:kern w:val="2"/>
                <w:sz w:val="28"/>
                <w:szCs w:val="28"/>
                <w:vertAlign w:val="baseline"/>
                <w:lang w:val="en-US" w:eastAsia="zh-CN" w:bidi="ar-SA"/>
              </w:rPr>
              <w:t>文号</w:t>
            </w:r>
          </w:p>
        </w:tc>
        <w:tc>
          <w:tcPr>
            <w:tcW w:w="882" w:type="pct"/>
            <w:noWrap w:val="0"/>
            <w:vAlign w:val="center"/>
          </w:tcPr>
          <w:p>
            <w:pPr>
              <w:pStyle w:val="8"/>
              <w:jc w:val="center"/>
              <w:rPr>
                <w:rFonts w:hint="eastAsia" w:ascii="方正黑体_GBK" w:hAnsi="方正黑体_GBK" w:eastAsia="方正黑体_GBK" w:cs="方正黑体_GBK"/>
                <w:color w:val="000000"/>
                <w:spacing w:val="0"/>
                <w:kern w:val="2"/>
                <w:sz w:val="28"/>
                <w:szCs w:val="28"/>
                <w:vertAlign w:val="baseline"/>
                <w:lang w:val="en-US" w:eastAsia="zh-CN" w:bidi="ar-SA"/>
              </w:rPr>
            </w:pPr>
            <w:r>
              <w:rPr>
                <w:rFonts w:hint="eastAsia" w:ascii="方正黑体_GBK" w:hAnsi="方正黑体_GBK" w:eastAsia="方正黑体_GBK" w:cs="方正黑体_GBK"/>
                <w:color w:val="000000"/>
                <w:spacing w:val="0"/>
                <w:kern w:val="2"/>
                <w:sz w:val="24"/>
                <w:szCs w:val="24"/>
                <w:vertAlign w:val="baseline"/>
                <w:lang w:val="en-US" w:eastAsia="zh-CN" w:bidi="ar-SA"/>
              </w:rPr>
              <w:t>是否为行政规范性文件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w:t>
            </w:r>
          </w:p>
        </w:tc>
        <w:tc>
          <w:tcPr>
            <w:tcW w:w="23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嘉兴市科技金融支持科技型中小企业发展的实施办法</w:t>
            </w:r>
          </w:p>
        </w:tc>
        <w:tc>
          <w:tcPr>
            <w:tcW w:w="13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嘉科综〔2018〕5号</w:t>
            </w:r>
          </w:p>
        </w:tc>
        <w:tc>
          <w:tcPr>
            <w:tcW w:w="88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w:t>
            </w:r>
          </w:p>
        </w:tc>
        <w:tc>
          <w:tcPr>
            <w:tcW w:w="23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嘉兴市创新类人才项目、公益性科技计划项目经费包干制试点工作方案</w:t>
            </w:r>
          </w:p>
        </w:tc>
        <w:tc>
          <w:tcPr>
            <w:tcW w:w="13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嘉科综〔2022〕73号</w:t>
            </w:r>
          </w:p>
        </w:tc>
        <w:tc>
          <w:tcPr>
            <w:tcW w:w="88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3</w:t>
            </w:r>
          </w:p>
        </w:tc>
        <w:tc>
          <w:tcPr>
            <w:tcW w:w="23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嘉兴市科技惠企政策</w:t>
            </w:r>
          </w:p>
        </w:tc>
        <w:tc>
          <w:tcPr>
            <w:tcW w:w="13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嘉科综〔2022〕9号</w:t>
            </w:r>
          </w:p>
        </w:tc>
        <w:tc>
          <w:tcPr>
            <w:tcW w:w="88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23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关于深入实施创新驱动发展战略加快建设面向未来的创新活力新城的若干意见有关内容的操作办法</w:t>
            </w:r>
          </w:p>
        </w:tc>
        <w:tc>
          <w:tcPr>
            <w:tcW w:w="13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嘉科综〔2020〕41号</w:t>
            </w:r>
          </w:p>
        </w:tc>
        <w:tc>
          <w:tcPr>
            <w:tcW w:w="88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23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嘉兴市人民政府关于进一步推动科技创新的若干政策意见有关内容的操作办法</w:t>
            </w:r>
          </w:p>
        </w:tc>
        <w:tc>
          <w:tcPr>
            <w:tcW w:w="13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嘉科综〔2017〕87号</w:t>
            </w:r>
          </w:p>
        </w:tc>
        <w:tc>
          <w:tcPr>
            <w:tcW w:w="88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否</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071C2C4-E4B5-49BE-B8BD-1BC5DB9F01CB}"/>
  </w:font>
  <w:font w:name="仿宋_GB2312">
    <w:panose1 w:val="02010609030101010101"/>
    <w:charset w:val="86"/>
    <w:family w:val="modern"/>
    <w:pitch w:val="default"/>
    <w:sig w:usb0="00000001" w:usb1="080E0000" w:usb2="00000000" w:usb3="00000000" w:csb0="00040000" w:csb1="00000000"/>
    <w:embedRegular r:id="rId2" w:fontKey="{8FF420FC-993D-4AD4-B755-072146723918}"/>
  </w:font>
  <w:font w:name="仿宋">
    <w:panose1 w:val="02010609060101010101"/>
    <w:charset w:val="86"/>
    <w:family w:val="auto"/>
    <w:pitch w:val="default"/>
    <w:sig w:usb0="800002BF" w:usb1="38CF7CFA" w:usb2="00000016" w:usb3="00000000" w:csb0="00040001" w:csb1="00000000"/>
    <w:embedRegular r:id="rId3" w:fontKey="{1FE71195-1481-4B29-94E8-E602CEFD8DAD}"/>
  </w:font>
  <w:font w:name="方正小标宋简体">
    <w:panose1 w:val="02000000000000000000"/>
    <w:charset w:val="86"/>
    <w:family w:val="script"/>
    <w:pitch w:val="default"/>
    <w:sig w:usb0="00000001" w:usb1="08000000" w:usb2="00000000" w:usb3="00000000" w:csb0="00040000" w:csb1="00000000"/>
    <w:embedRegular r:id="rId4" w:fontKey="{5C31A4E3-9C38-497A-940D-632706CD9A1B}"/>
  </w:font>
  <w:font w:name="方正黑体_GBK">
    <w:altName w:val="微软雅黑"/>
    <w:panose1 w:val="02000000000000000000"/>
    <w:charset w:val="86"/>
    <w:family w:val="auto"/>
    <w:pitch w:val="default"/>
    <w:sig w:usb0="00000000" w:usb1="00000000" w:usb2="00000000" w:usb3="00000000" w:csb0="00040000" w:csb1="00000000"/>
    <w:embedRegular r:id="rId5" w:fontKey="{181752ED-EC95-4B83-BD0C-D49A6FD876C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DEzMDk0YTNkNDdlZWVmNzFjYzMwZjc5MzY1NzEifQ=="/>
  </w:docVars>
  <w:rsids>
    <w:rsidRoot w:val="21192367"/>
    <w:rsid w:val="2119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next w:val="3"/>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3">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4">
    <w:name w:val="footer"/>
    <w:basedOn w:val="1"/>
    <w:semiHidden/>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semiHidden/>
    <w:qFormat/>
    <w:uiPriority w:val="0"/>
    <w:rPr>
      <w:rFonts w:ascii="Times New Roman" w:hAnsi="Times New Roman" w:eastAsia="宋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2024-07-01T02:14:00Z</dcterms:created>
  <dc:creator>teny</dc:creator>
  <cp:lastModifiedBy>teny</cp:lastModifiedBy>
  <dcterms:modified xsi:type="dcterms:W3CDTF">2024-07-01T02:14:19Z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7978838AE3B646338F42470B4FC71D39_11</vt:lpwstr>
  </property>
</Properties>
</file>