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楷体_GB2312"/>
          <w:color w:val="000000"/>
          <w:spacing w:val="-6"/>
          <w:sz w:val="32"/>
          <w:szCs w:val="36"/>
          <w:lang w:val="en-US" w:eastAsia="zh-CN"/>
        </w:rPr>
      </w:pPr>
      <w:r>
        <w:rPr>
          <w:rFonts w:hint="default" w:ascii="黑体" w:hAnsi="黑体" w:eastAsia="黑体" w:cs="楷体_GB2312"/>
          <w:color w:val="000000"/>
          <w:spacing w:val="-6"/>
          <w:sz w:val="32"/>
          <w:szCs w:val="36"/>
        </w:rPr>
        <w:t>附件</w:t>
      </w:r>
      <w:r>
        <w:rPr>
          <w:rFonts w:hint="eastAsia" w:ascii="黑体" w:hAnsi="黑体" w:eastAsia="黑体" w:cs="楷体_GB2312"/>
          <w:color w:val="000000"/>
          <w:spacing w:val="-6"/>
          <w:sz w:val="32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嘉兴市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创新类人才项目和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公益性科技计划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项目经费使用“负面清单”</w:t>
      </w:r>
    </w:p>
    <w:bookmarkEnd w:id="0"/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74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</w:rPr>
              <w:t>“负面清单”内容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不得虚构经济业务、编造虚假合同、使用虚假票据套取资金。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不得通过合作、协作经费方式套取资金。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不得以发放劳务费名义套取资金。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不得用于与本科研项目无关的支出。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不得用于应由个人及家庭负担的支出。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不得虚列、伪造名单，不得虚报冒领劳务费。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不得截留、挪用、侵占科研经费。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不得使用科研经费支付各种罚款、捐款、赞助、投资。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其他法律、法规以及政策文件明确不得开支的内容。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EB724"/>
    <w:multiLevelType w:val="singleLevel"/>
    <w:tmpl w:val="246EB724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mViYmI0MjJlOWU4YzZkODk1ZmUyZmVhMDg5OTEifQ=="/>
  </w:docVars>
  <w:rsids>
    <w:rsidRoot w:val="727F3C70"/>
    <w:rsid w:val="727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2022-11-07T01:35:00Z</dcterms:created>
  <dc:creator>teny</dc:creator>
  <cp:lastModifiedBy>teny</cp:lastModifiedBy>
  <dcterms:modified xsi:type="dcterms:W3CDTF">2022-11-07T01:35:49Z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5DC87BD14CB14F2F8A00F0D0520B8D78</vt:lpwstr>
  </property>
</Properties>
</file>