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附件2  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全市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地震系统抽查对象名录库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（地震监测台站）</w:t>
      </w:r>
      <w:bookmarkEnd w:id="0"/>
    </w:p>
    <w:tbl>
      <w:tblPr>
        <w:tblStyle w:val="3"/>
        <w:tblpPr w:leftFromText="180" w:rightFromText="180" w:vertAnchor="text" w:horzAnchor="page" w:tblpX="1428" w:tblpY="656"/>
        <w:tblOverlap w:val="never"/>
        <w:tblW w:w="142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575"/>
        <w:gridCol w:w="2745"/>
        <w:gridCol w:w="2370"/>
        <w:gridCol w:w="2430"/>
        <w:gridCol w:w="2040"/>
        <w:gridCol w:w="1185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b/>
                <w:color w:val="000000"/>
                <w:kern w:val="0"/>
                <w:sz w:val="22"/>
                <w:szCs w:val="22"/>
              </w:rPr>
              <w:t>场地场所编号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b/>
                <w:color w:val="FF0000"/>
                <w:sz w:val="22"/>
                <w:szCs w:val="22"/>
              </w:rPr>
            </w:pPr>
            <w:r>
              <w:rPr>
                <w:rStyle w:val="5"/>
                <w:rFonts w:hint="default"/>
              </w:rPr>
              <w:t>*</w:t>
            </w:r>
            <w:r>
              <w:rPr>
                <w:rStyle w:val="6"/>
                <w:rFonts w:hint="default"/>
              </w:rPr>
              <w:t>场地场所名称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b/>
                <w:color w:val="FF0000"/>
                <w:sz w:val="22"/>
                <w:szCs w:val="22"/>
              </w:rPr>
            </w:pPr>
            <w:r>
              <w:rPr>
                <w:rStyle w:val="5"/>
                <w:rFonts w:hint="default"/>
              </w:rPr>
              <w:t>*</w:t>
            </w:r>
            <w:r>
              <w:rPr>
                <w:rStyle w:val="6"/>
                <w:rFonts w:hint="default"/>
              </w:rPr>
              <w:t>专项库（大类）名称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b/>
                <w:color w:val="FF0000"/>
                <w:sz w:val="22"/>
                <w:szCs w:val="22"/>
              </w:rPr>
            </w:pPr>
            <w:r>
              <w:rPr>
                <w:rStyle w:val="5"/>
                <w:rFonts w:hint="default"/>
              </w:rPr>
              <w:t>*</w:t>
            </w:r>
            <w:r>
              <w:rPr>
                <w:rStyle w:val="6"/>
                <w:rFonts w:hint="default"/>
              </w:rPr>
              <w:t>专项库（小类）名称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b/>
                <w:color w:val="FF0000"/>
                <w:sz w:val="22"/>
                <w:szCs w:val="22"/>
              </w:rPr>
            </w:pPr>
            <w:r>
              <w:rPr>
                <w:rStyle w:val="5"/>
                <w:rFonts w:hint="default"/>
              </w:rPr>
              <w:t>*</w:t>
            </w:r>
            <w:r>
              <w:rPr>
                <w:rStyle w:val="6"/>
                <w:rFonts w:hint="default"/>
              </w:rPr>
              <w:t>检查部门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b/>
                <w:color w:val="FF0000"/>
                <w:szCs w:val="21"/>
              </w:rPr>
            </w:pPr>
            <w:r>
              <w:rPr>
                <w:rStyle w:val="7"/>
                <w:rFonts w:hint="default"/>
              </w:rPr>
              <w:t>*</w:t>
            </w:r>
            <w:r>
              <w:rPr>
                <w:rStyle w:val="8"/>
                <w:rFonts w:hint="default"/>
              </w:rPr>
              <w:t>地市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b/>
                <w:color w:val="FF0000"/>
                <w:szCs w:val="21"/>
              </w:rPr>
            </w:pPr>
            <w:r>
              <w:rPr>
                <w:rStyle w:val="7"/>
                <w:rFonts w:hint="default"/>
              </w:rPr>
              <w:t>*</w:t>
            </w:r>
            <w:r>
              <w:rPr>
                <w:rStyle w:val="8"/>
                <w:rFonts w:hint="default"/>
              </w:rPr>
              <w:t>区县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3301l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嘉兴大桥地震台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地震监测台站专项库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市县级地震台站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各级地震主管部门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33084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嘉兴双桥地震台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地震监测台站专项库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市县级地震台站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各级地震主管部门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秀洲区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33085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嘉善罗星地震台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地震监测台站专项库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市县级地震台站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各级地震主管部门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33041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平湖当湖地震台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地震监测台站专项库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市县级地震台站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各级地震主管部门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平湖市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33080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平湖乍浦地震台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地震监测台站专项库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市县级地震台站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各级地震主管部门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平湖市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33023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海盐澉浦地震台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地震监测台站专项库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市县级地震台站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各级地震主管部门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海盐县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33022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海宁硖石地震台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地震监测台站专项库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市县级地震台站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各级地震主管部门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海宁市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33109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海宁海洲地震台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地震监测台站专项库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市县级地震台站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各级地震主管部门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海宁市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33021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桐乡石门地震台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地震监测台站专项库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市县级地震台站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各级地震主管部门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嘉兴市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桐乡市</w:t>
            </w:r>
          </w:p>
        </w:tc>
      </w:tr>
    </w:tbl>
    <w:p>
      <w:pPr>
        <w:shd w:val="clear" w:color="auto" w:fill="FFFFFF"/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474" w:right="1928" w:bottom="1418" w:left="1985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双随机抽查中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地震安全性评价单位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的抽查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根据省局发布的任务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执行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5AF1D4-403B-4CA7-9584-06349F77A8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72CEEF7-6C1F-413F-88E9-B3DE67589D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6A54246-22B6-4337-AD04-2699A57E49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80"/>
      <w:jc w:val="right"/>
      <w:rPr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75EE8"/>
    <w:rsid w:val="2947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Cs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b/>
      <w:color w:val="FF0000"/>
      <w:sz w:val="21"/>
      <w:szCs w:val="21"/>
      <w:u w:val="none"/>
    </w:r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2021-09-23T02:49:00Z</dcterms:created>
  <dc:creator>teny</dc:creator>
  <cp:lastModifiedBy>teny</cp:lastModifiedBy>
  <dcterms:modified xsi:type="dcterms:W3CDTF">2021-09-23T02:49:30Z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E4E1A75AB88E4155918A984D16CC7821</vt:lpwstr>
  </property>
</Properties>
</file>