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80" w:lineRule="exact"/>
        <w:jc w:val="left"/>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b w:val="0"/>
          <w:bCs/>
          <w:sz w:val="32"/>
          <w:szCs w:val="32"/>
          <w:lang w:eastAsia="zh-CN"/>
        </w:rPr>
        <w:t>附件</w:t>
      </w:r>
      <w:r>
        <w:rPr>
          <w:rFonts w:hint="eastAsia" w:ascii="方正小标宋_GBK" w:hAnsi="方正小标宋_GBK" w:eastAsia="方正小标宋_GBK" w:cs="方正小标宋_GBK"/>
          <w:b w:val="0"/>
          <w:bCs/>
          <w:sz w:val="32"/>
          <w:szCs w:val="32"/>
          <w:lang w:val="en-US" w:eastAsia="zh-CN"/>
        </w:rPr>
        <w:t xml:space="preserve">1  </w:t>
      </w:r>
      <w:r>
        <w:rPr>
          <w:rFonts w:hint="eastAsia" w:ascii="方正小标宋_GBK" w:hAnsi="方正小标宋_GBK" w:eastAsia="方正小标宋_GBK" w:cs="方正小标宋_GBK"/>
          <w:sz w:val="32"/>
          <w:szCs w:val="32"/>
          <w:lang w:val="en-US" w:eastAsia="zh-CN"/>
        </w:rPr>
        <w:t xml:space="preserve">                    </w:t>
      </w:r>
      <w:bookmarkStart w:id="0" w:name="_GoBack"/>
      <w:r>
        <w:rPr>
          <w:rFonts w:hint="eastAsia" w:ascii="方正小标宋_GBK" w:hAnsi="方正小标宋_GBK" w:eastAsia="方正小标宋_GBK" w:cs="方正小标宋_GBK"/>
          <w:sz w:val="32"/>
          <w:szCs w:val="32"/>
        </w:rPr>
        <w:t>全</w:t>
      </w:r>
      <w:r>
        <w:rPr>
          <w:rFonts w:hint="eastAsia" w:ascii="方正小标宋_GBK" w:hAnsi="方正小标宋_GBK" w:eastAsia="方正小标宋_GBK" w:cs="方正小标宋_GBK"/>
          <w:sz w:val="32"/>
          <w:szCs w:val="32"/>
          <w:lang w:eastAsia="zh-CN"/>
        </w:rPr>
        <w:t>市</w:t>
      </w:r>
      <w:r>
        <w:rPr>
          <w:rFonts w:hint="eastAsia" w:ascii="方正小标宋_GBK" w:hAnsi="方正小标宋_GBK" w:eastAsia="方正小标宋_GBK" w:cs="方正小标宋_GBK"/>
          <w:sz w:val="32"/>
          <w:szCs w:val="32"/>
        </w:rPr>
        <w:t>地震系统随机抽查事项清单</w:t>
      </w:r>
    </w:p>
    <w:bookmarkEnd w:id="0"/>
    <w:tbl>
      <w:tblPr>
        <w:tblStyle w:val="4"/>
        <w:tblW w:w="12982" w:type="dxa"/>
        <w:jc w:val="center"/>
        <w:tblLayout w:type="fixed"/>
        <w:tblCellMar>
          <w:top w:w="0" w:type="dxa"/>
          <w:left w:w="0" w:type="dxa"/>
          <w:bottom w:w="0" w:type="dxa"/>
          <w:right w:w="0" w:type="dxa"/>
        </w:tblCellMar>
      </w:tblPr>
      <w:tblGrid>
        <w:gridCol w:w="617"/>
        <w:gridCol w:w="1334"/>
        <w:gridCol w:w="1873"/>
        <w:gridCol w:w="1197"/>
        <w:gridCol w:w="1121"/>
        <w:gridCol w:w="1152"/>
        <w:gridCol w:w="1242"/>
        <w:gridCol w:w="3652"/>
        <w:gridCol w:w="794"/>
      </w:tblGrid>
      <w:tr>
        <w:tblPrEx>
          <w:tblCellMar>
            <w:top w:w="0" w:type="dxa"/>
            <w:left w:w="0" w:type="dxa"/>
            <w:bottom w:w="0" w:type="dxa"/>
            <w:right w:w="0" w:type="dxa"/>
          </w:tblCellMar>
        </w:tblPrEx>
        <w:trPr>
          <w:trHeight w:val="577" w:hRule="atLeast"/>
          <w:jc w:val="center"/>
        </w:trPr>
        <w:tc>
          <w:tcPr>
            <w:tcW w:w="61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_GB2312" w:hAnsi="仿宋_GB2312" w:eastAsia="仿宋_GB2312" w:cs="仿宋_GB2312"/>
                <w:b/>
                <w:sz w:val="24"/>
              </w:rPr>
            </w:pPr>
            <w:r>
              <w:rPr>
                <w:rFonts w:hint="eastAsia" w:ascii="仿宋_GB2312" w:hAnsi="仿宋_GB2312" w:eastAsia="仿宋_GB2312" w:cs="仿宋_GB2312"/>
                <w:color w:val="000000"/>
                <w:kern w:val="0"/>
                <w:sz w:val="24"/>
              </w:rPr>
              <w:t>序号</w:t>
            </w:r>
          </w:p>
        </w:tc>
        <w:tc>
          <w:tcPr>
            <w:tcW w:w="1334"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_GB2312" w:hAnsi="仿宋_GB2312" w:eastAsia="仿宋_GB2312" w:cs="仿宋_GB2312"/>
                <w:b/>
                <w:sz w:val="24"/>
              </w:rPr>
            </w:pPr>
            <w:r>
              <w:rPr>
                <w:rFonts w:hint="eastAsia" w:ascii="仿宋_GB2312" w:hAnsi="仿宋_GB2312" w:eastAsia="仿宋_GB2312" w:cs="仿宋_GB2312"/>
                <w:color w:val="000000"/>
                <w:kern w:val="0"/>
                <w:sz w:val="24"/>
              </w:rPr>
              <w:t>抽查事项</w:t>
            </w:r>
          </w:p>
        </w:tc>
        <w:tc>
          <w:tcPr>
            <w:tcW w:w="1873"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_GB2312" w:hAnsi="仿宋_GB2312" w:eastAsia="仿宋_GB2312" w:cs="仿宋_GB2312"/>
                <w:b/>
                <w:sz w:val="24"/>
              </w:rPr>
            </w:pPr>
            <w:r>
              <w:rPr>
                <w:rFonts w:hint="eastAsia" w:ascii="仿宋_GB2312" w:hAnsi="仿宋_GB2312" w:eastAsia="仿宋_GB2312" w:cs="仿宋_GB2312"/>
                <w:color w:val="000000"/>
                <w:kern w:val="0"/>
                <w:sz w:val="24"/>
              </w:rPr>
              <w:t>抽查依据</w:t>
            </w:r>
          </w:p>
        </w:tc>
        <w:tc>
          <w:tcPr>
            <w:tcW w:w="1197"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_GB2312" w:hAnsi="仿宋_GB2312" w:eastAsia="仿宋_GB2312" w:cs="仿宋_GB2312"/>
                <w:b/>
                <w:sz w:val="24"/>
              </w:rPr>
            </w:pPr>
            <w:r>
              <w:rPr>
                <w:rFonts w:hint="eastAsia" w:ascii="仿宋_GB2312" w:hAnsi="仿宋_GB2312" w:eastAsia="仿宋_GB2312" w:cs="仿宋_GB2312"/>
                <w:color w:val="000000"/>
                <w:kern w:val="0"/>
                <w:sz w:val="24"/>
              </w:rPr>
              <w:t>抽查主体</w:t>
            </w:r>
          </w:p>
        </w:tc>
        <w:tc>
          <w:tcPr>
            <w:tcW w:w="1121"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_GB2312" w:hAnsi="仿宋_GB2312" w:eastAsia="仿宋_GB2312" w:cs="仿宋_GB2312"/>
                <w:b/>
                <w:sz w:val="24"/>
              </w:rPr>
            </w:pPr>
            <w:r>
              <w:rPr>
                <w:rFonts w:hint="eastAsia" w:ascii="仿宋_GB2312" w:hAnsi="仿宋_GB2312" w:eastAsia="仿宋_GB2312" w:cs="仿宋_GB2312"/>
                <w:color w:val="000000"/>
                <w:kern w:val="0"/>
                <w:sz w:val="24"/>
              </w:rPr>
              <w:t>抽查对象</w:t>
            </w:r>
          </w:p>
        </w:tc>
        <w:tc>
          <w:tcPr>
            <w:tcW w:w="115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抽查频次</w:t>
            </w:r>
          </w:p>
        </w:tc>
        <w:tc>
          <w:tcPr>
            <w:tcW w:w="124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抽查方式</w:t>
            </w:r>
          </w:p>
        </w:tc>
        <w:tc>
          <w:tcPr>
            <w:tcW w:w="365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抽查内容及要求</w:t>
            </w:r>
          </w:p>
        </w:tc>
        <w:tc>
          <w:tcPr>
            <w:tcW w:w="794" w:type="dxa"/>
            <w:tcBorders>
              <w:top w:val="single" w:color="auto" w:sz="6" w:space="0"/>
              <w:left w:val="single" w:color="auto" w:sz="6" w:space="0"/>
              <w:bottom w:val="single" w:color="auto" w:sz="6" w:space="0"/>
              <w:right w:val="single" w:color="auto" w:sz="6" w:space="0"/>
            </w:tcBorders>
            <w:vAlign w:val="center"/>
          </w:tcPr>
          <w:p>
            <w:pPr>
              <w:widowControl/>
              <w:spacing w:line="32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备注</w:t>
            </w:r>
          </w:p>
        </w:tc>
      </w:tr>
      <w:tr>
        <w:tblPrEx>
          <w:tblCellMar>
            <w:top w:w="0" w:type="dxa"/>
            <w:left w:w="0" w:type="dxa"/>
            <w:bottom w:w="0" w:type="dxa"/>
            <w:right w:w="0" w:type="dxa"/>
          </w:tblCellMar>
        </w:tblPrEx>
        <w:trPr>
          <w:trHeight w:val="719" w:hRule="atLeast"/>
          <w:jc w:val="center"/>
        </w:trPr>
        <w:tc>
          <w:tcPr>
            <w:tcW w:w="61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334"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对侵占、毁损、拆除或者擅自移动地震监测设施，危害地震观测环境，破坏典型地震遗址、遗迹行为的行政检查</w:t>
            </w:r>
          </w:p>
        </w:tc>
        <w:tc>
          <w:tcPr>
            <w:tcW w:w="1873"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《防震减灾法》第二十三条、第八十四条</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《地震监测管理条例》第二十五条、第二十六条、</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第二十七条、第二十八条　</w:t>
            </w:r>
          </w:p>
        </w:tc>
        <w:tc>
          <w:tcPr>
            <w:tcW w:w="1197"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各级地震主管部门</w:t>
            </w:r>
          </w:p>
        </w:tc>
        <w:tc>
          <w:tcPr>
            <w:tcW w:w="1121"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地震监测台站及周边单位和个人</w:t>
            </w:r>
          </w:p>
        </w:tc>
        <w:tc>
          <w:tcPr>
            <w:tcW w:w="1152"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1-2次/年</w:t>
            </w:r>
          </w:p>
        </w:tc>
        <w:tc>
          <w:tcPr>
            <w:tcW w:w="1242"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现场检查、书面检查等</w:t>
            </w:r>
          </w:p>
        </w:tc>
        <w:tc>
          <w:tcPr>
            <w:tcW w:w="3652" w:type="dxa"/>
            <w:tcBorders>
              <w:top w:val="single" w:color="auto" w:sz="6" w:space="0"/>
              <w:left w:val="single" w:color="auto" w:sz="6" w:space="0"/>
              <w:bottom w:val="single" w:color="auto" w:sz="6" w:space="0"/>
              <w:right w:val="single" w:color="auto" w:sz="6" w:space="0"/>
            </w:tcBorders>
            <w:vAlign w:val="center"/>
          </w:tcPr>
          <w:p>
            <w:pPr>
              <w:widowControl/>
              <w:spacing w:line="320" w:lineRule="exact"/>
              <w:rPr>
                <w:rFonts w:ascii="仿宋_GB2312" w:hAnsi="仿宋_GB2312" w:eastAsia="仿宋_GB2312" w:cs="仿宋_GB2312"/>
                <w:sz w:val="24"/>
              </w:rPr>
            </w:pPr>
            <w:r>
              <w:rPr>
                <w:rFonts w:hint="eastAsia" w:ascii="仿宋_GB2312" w:hAnsi="仿宋_GB2312" w:eastAsia="仿宋_GB2312" w:cs="仿宋_GB2312"/>
                <w:sz w:val="24"/>
              </w:rPr>
              <w:t>检查下列地震监测设施是否受到破坏或干扰：1.地震监测仪器、设备和装置；2.供地震监测使用的山洞、观测井（泉）；3.地震监测台网中心、中继站、遥测点的用房；4.地震监测标志；5.地震监测专用无线通信频段、信道和通信设施；6.用于地震监测的供电、供水设施。</w:t>
            </w:r>
          </w:p>
          <w:p>
            <w:pPr>
              <w:widowControl/>
              <w:spacing w:line="320" w:lineRule="exact"/>
              <w:rPr>
                <w:rFonts w:ascii="仿宋_GB2312" w:hAnsi="仿宋_GB2312" w:eastAsia="仿宋_GB2312" w:cs="仿宋_GB2312"/>
                <w:sz w:val="24"/>
              </w:rPr>
            </w:pPr>
            <w:r>
              <w:rPr>
                <w:rFonts w:hint="eastAsia" w:ascii="仿宋_GB2312" w:hAnsi="仿宋_GB2312" w:eastAsia="仿宋_GB2312" w:cs="仿宋_GB2312"/>
                <w:sz w:val="24"/>
              </w:rPr>
              <w:t>检查保护范围内是否有从事下列活动：1.爆破、采矿、采石、钻井、抽水、注水；2.在测震观测环境保护范围内设置无线信号发射装置、进行振动作业和往复机械运动；3.在电磁观测环境保护范围内铺设金属管线、电力电缆线路、堆放磁性物品和设置高频电磁辐射装置；4.在地形变观测环境保护范围内进行振动作业；5.在地下流体观测环境保护范围内堆积和填埋垃圾、进行污水处理；6.在观测线和观测标志周围设置障碍物或者擅自移动地震观测标志。</w:t>
            </w:r>
          </w:p>
        </w:tc>
        <w:tc>
          <w:tcPr>
            <w:tcW w:w="79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hAnsi="仿宋_GB2312" w:eastAsia="仿宋_GB2312" w:cs="仿宋_GB2312"/>
                <w:sz w:val="24"/>
              </w:rPr>
            </w:pPr>
          </w:p>
        </w:tc>
      </w:tr>
    </w:tbl>
    <w:p>
      <w:pPr>
        <w:spacing w:line="320" w:lineRule="exact"/>
        <w:jc w:val="center"/>
        <w:rPr>
          <w:rFonts w:hint="eastAsia" w:ascii="仿宋_GB2312" w:hAnsi="仿宋_GB2312" w:eastAsia="仿宋_GB2312" w:cs="仿宋_GB2312"/>
          <w:sz w:val="24"/>
        </w:rPr>
        <w:sectPr>
          <w:footerReference r:id="rId3" w:type="default"/>
          <w:pgSz w:w="16838" w:h="11906" w:orient="landscape"/>
          <w:pgMar w:top="1474" w:right="1928" w:bottom="1418" w:left="1985" w:header="851" w:footer="992" w:gutter="0"/>
          <w:pgNumType w:fmt="decimal"/>
          <w:cols w:space="720" w:num="1"/>
          <w:docGrid w:type="lines" w:linePitch="312" w:charSpace="0"/>
        </w:sectPr>
      </w:pPr>
    </w:p>
    <w:tbl>
      <w:tblPr>
        <w:tblStyle w:val="4"/>
        <w:tblW w:w="12982" w:type="dxa"/>
        <w:jc w:val="center"/>
        <w:tblLayout w:type="fixed"/>
        <w:tblCellMar>
          <w:top w:w="0" w:type="dxa"/>
          <w:left w:w="0" w:type="dxa"/>
          <w:bottom w:w="0" w:type="dxa"/>
          <w:right w:w="0" w:type="dxa"/>
        </w:tblCellMar>
      </w:tblPr>
      <w:tblGrid>
        <w:gridCol w:w="617"/>
        <w:gridCol w:w="1334"/>
        <w:gridCol w:w="1873"/>
        <w:gridCol w:w="1197"/>
        <w:gridCol w:w="1121"/>
        <w:gridCol w:w="1152"/>
        <w:gridCol w:w="1242"/>
        <w:gridCol w:w="3652"/>
        <w:gridCol w:w="794"/>
      </w:tblGrid>
      <w:tr>
        <w:tblPrEx>
          <w:tblCellMar>
            <w:top w:w="0" w:type="dxa"/>
            <w:left w:w="0" w:type="dxa"/>
            <w:bottom w:w="0" w:type="dxa"/>
            <w:right w:w="0" w:type="dxa"/>
          </w:tblCellMar>
        </w:tblPrEx>
        <w:trPr>
          <w:trHeight w:val="1970" w:hRule="atLeast"/>
          <w:jc w:val="center"/>
        </w:trPr>
        <w:tc>
          <w:tcPr>
            <w:tcW w:w="61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334"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对地震安全性评价单位的行政检查</w:t>
            </w:r>
          </w:p>
        </w:tc>
        <w:tc>
          <w:tcPr>
            <w:tcW w:w="1873"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《防震减灾法》第七十六条</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《地震安全性评价管理条例》第四条、第六条、第七条、第九条</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《地震安全性评价管理办法（暂行）》（中震防发〔2017〕10号）</w:t>
            </w:r>
          </w:p>
          <w:p>
            <w:pPr>
              <w:spacing w:line="320" w:lineRule="exact"/>
              <w:rPr>
                <w:rFonts w:ascii="仿宋_GB2312" w:hAnsi="仿宋_GB2312" w:eastAsia="仿宋_GB2312" w:cs="仿宋_GB2312"/>
                <w:sz w:val="32"/>
                <w:szCs w:val="32"/>
              </w:rPr>
            </w:pPr>
            <w:r>
              <w:rPr>
                <w:rFonts w:hint="eastAsia" w:ascii="仿宋_GB2312" w:hAnsi="仿宋_GB2312" w:eastAsia="仿宋_GB2312" w:cs="仿宋_GB2312"/>
                <w:sz w:val="24"/>
              </w:rPr>
              <w:t>第七条、第十一条、第十二条</w:t>
            </w:r>
          </w:p>
        </w:tc>
        <w:tc>
          <w:tcPr>
            <w:tcW w:w="1197"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各级地震主管部门</w:t>
            </w:r>
          </w:p>
        </w:tc>
        <w:tc>
          <w:tcPr>
            <w:tcW w:w="1121"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地震安全性评价单位</w:t>
            </w:r>
          </w:p>
        </w:tc>
        <w:tc>
          <w:tcPr>
            <w:tcW w:w="1152"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1-2次/年</w:t>
            </w:r>
          </w:p>
        </w:tc>
        <w:tc>
          <w:tcPr>
            <w:tcW w:w="1242"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现场检查、书面检查等</w:t>
            </w:r>
          </w:p>
        </w:tc>
        <w:tc>
          <w:tcPr>
            <w:tcW w:w="3652"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检查地震安全性评价单位是否具备下列条件1.具有独立法人资格；2.具有与承担地震安全性评价相适应的地震学、地震地质学、地震工程学3个相关专业背景的技术人员，每个专业具有高级专业技术职称人员不少于2人；3.具有承担地震安全性评价工作的技术装备和专用软件系统，并具备相应的实验、测试条件和分析能力；4.具有健全的质量管理体系。</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检查地震安全性评价报告的内容构成，是否由评价单位或机构法定代表人、技术负责人和主要编写人签名，并加盖公章。出具单位和承揽单位是否一致，是否存在以其他地震安全性评价单位的名义承揽地震安全性评价业务、允许其他单位以本单位名义承揽地震安全性评价业务的行为。</w:t>
            </w:r>
          </w:p>
        </w:tc>
        <w:tc>
          <w:tcPr>
            <w:tcW w:w="794" w:type="dxa"/>
            <w:tcBorders>
              <w:top w:val="single" w:color="auto" w:sz="6" w:space="0"/>
              <w:left w:val="single" w:color="auto" w:sz="6" w:space="0"/>
              <w:bottom w:val="single" w:color="auto" w:sz="6" w:space="0"/>
              <w:right w:val="single" w:color="auto" w:sz="6" w:space="0"/>
            </w:tcBorders>
            <w:vAlign w:val="center"/>
          </w:tcPr>
          <w:p>
            <w:pPr>
              <w:spacing w:line="320" w:lineRule="exact"/>
              <w:rPr>
                <w:rFonts w:ascii="仿宋_GB2312" w:hAnsi="仿宋_GB2312" w:eastAsia="仿宋_GB2312" w:cs="仿宋_GB2312"/>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7A138FA-3FA0-4D82-B69A-EF9FE8B26A8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2" w:fontKey="{01C2EA1E-7E89-4AEA-B419-F5C7D4F93CD3}"/>
  </w:font>
  <w:font w:name="仿宋_GB2312">
    <w:altName w:val="仿宋"/>
    <w:panose1 w:val="02010609030101010101"/>
    <w:charset w:val="86"/>
    <w:family w:val="modern"/>
    <w:pitch w:val="default"/>
    <w:sig w:usb0="00000000" w:usb1="00000000" w:usb2="00000000" w:usb3="00000000" w:csb0="00040000" w:csb1="00000000"/>
    <w:embedRegular r:id="rId3" w:fontKey="{F69C89E7-7CCF-4FB2-A40F-BA3451B95A6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8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73B2F"/>
    <w:rsid w:val="34B7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Cs/>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eastAsiaTheme="minorEastAsia" w:cstheme="minorBidi"/>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2021-09-23T02:48:00Z</dcterms:created>
  <dc:creator>teny</dc:creator>
  <cp:lastModifiedBy>teny</cp:lastModifiedBy>
  <dcterms:modified xsi:type="dcterms:W3CDTF">2021-09-23T02:49:04Z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9C13E798A6B94CEA80649CFB255EBAE4</vt:lpwstr>
  </property>
</Properties>
</file>